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Östra Luspenåivve i Arvidsjaurs kommun</w:t>
      </w:r>
    </w:p>
    <w:p>
      <w:r>
        <w:t>Detta dokument behandlar höga naturvärden i avverkningsanmälan Östra Luspenåivve i Arvidsjaurs kommun. Denna avverkningsanmälan inkom 2024-08-02 och omfattar 207,9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70 naturvårdsarter hittats: urskogsporing (EN), blackticka (VU), doftticka (VU, §8), fläckporing (VU), gräddporing (VU), knärot (VU, §8), lateritticka (VU), smalfotad taggsvamp (VU), tajgataggsvamp (VU), barkporlav (NT), blanksvart spiklav (NT), blå taggsvamp (NT), blågrå svartspik (NT), brunpudrad nållav (NT), doftskinn (NT), dvärgbägarlav (NT), gammelgransskål (NT), garnlav (NT), granticka (NT), gränsticka (NT), grå blåbärsfältmätare (NT), hornvaxskinn (NT), järpe (NT, §4), knottrig blåslav (NT), kolflarnlav (NT), kortskaftad ärgspik (NT), kådvaxskinn (NT), liten svartspik (NT), luddfingersvamp (NT), lunglav (NT), mörk kolflarnlav (NT), nordtagging (NT), orange taggsvamp (NT), rosenticka (NT), spillkråka (NT, §4), svart taggsvamp (NT), tallticka (NT), talltita (NT, §4), tretåig hackspett (NT, §4), ullticka (NT), vaddporing (NT), vedflamlav (NT), vedskivlav (NT), vedtrappmossa (NT), violmussling (NT), vitgrynig nållav (NT), vitplätt (NT), blodticka (S), bårdlav (S), dropptaggsvamp (S), jättesvampmal (S), källpraktmossa (S), luddlav (S), norrlandslav (S), nästlav (S), plattlummer (S, §9), skarp dropptaggsvamp (S), skinnlav (S), sotlav (S), spindelblomster (S, §8), stuplav (S), vedticka (S), vågbandad barkbock (S), ögonpyrola (S), kungsfågel (§4), lavskrika (§4), tjäder (§4), vanlig groda (§6), fläcknycklar (§8) och revlummer (§9). Av dessa är 47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205452"/>
            <wp:docPr id="1" name="Picture 1"/>
            <wp:cNvGraphicFramePr>
              <a:graphicFrameLocks noChangeAspect="1"/>
            </wp:cNvGraphicFramePr>
            <a:graphic>
              <a:graphicData uri="http://schemas.openxmlformats.org/drawingml/2006/picture">
                <pic:pic>
                  <pic:nvPicPr>
                    <pic:cNvPr id="0" name="Östra Luspenåivve karta.png"/>
                    <pic:cNvPicPr/>
                  </pic:nvPicPr>
                  <pic:blipFill>
                    <a:blip r:embed="rId16"/>
                    <a:stretch>
                      <a:fillRect/>
                    </a:stretch>
                  </pic:blipFill>
                  <pic:spPr>
                    <a:xfrm>
                      <a:off x="0" y="0"/>
                      <a:ext cx="5486400" cy="420545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7274230, E 704000 i SWEREF 99 TM.</w:t>
      </w:r>
    </w:p>
    <w:p>
      <w:pPr>
        <w:pStyle w:val="Heading1"/>
      </w:pPr>
      <w:r>
        <w:t>Fridlysta arter</w:t>
      </w:r>
    </w:p>
    <w:p>
      <w:r>
        <w:t>Följande fridlysta arter har sina livsmiljöer och växtplatser i den avverkningsanmälda skogen: doftticka (VU, §8), knärot (VU, §8), järpe (NT, §4), spillkråka (NT, §4), talltita (NT, §4), tretåig hackspett (NT, §4), plattlummer (S, §9), spindelblomster (S, §8), kungsfågel (§4), lavskrika (§4), tjäder (§4), vanlig groda (§6), fläcknycklar (§8)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Järpe (NT, §4)</w:t>
      </w:r>
      <w:r>
        <w:t xml:space="preserve">, rödlistad som nära hotad och prioriterad art i Skogsvårdslagen har häckningsrevir i avverkningsanmälan. Arten har minskat med 25 (10 - 40) % under de senaste 12 åren och är mycket stationär inom sitt revir som är minst 25 hektar stort. Dess livsmiljöer utgörs av tät barrskog med inblandning av lövträd och en väl utvecklad flerskiktad struktur med bärris och yngre eller undertryckta, täta granar i ett lägre skikt, ofta utmed bäckar och åar inne i den skyddande granskogen. Järpen överlever inte om dess livsmiljö kalavverkas och är även känslig för röjning, gallring och avverkning där unga granar och lövträd inte sparas i tillräcklig omfattning (SLU Artdatabanken, 2022). </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119 fyndplatser för knärot registrerade på Artportalen. Figur 2 visar gränserna för buffertzoner på 50 m, som behöver lämnas kring fyndplatserna för att knärotslokalerna inte ska försvinna vid en avverkning. Av det avverkningsanmälda området överlappar 34.03 ha med buffertzonerna och får av detta skäl inte avverkas.</w:t>
      </w:r>
    </w:p>
    <w:p>
      <w:pPr>
        <w:pStyle w:val="Caption"/>
      </w:pPr>
      <w:r>
        <w:drawing>
          <wp:inline xmlns:a="http://schemas.openxmlformats.org/drawingml/2006/main" xmlns:pic="http://schemas.openxmlformats.org/drawingml/2006/picture">
            <wp:extent cx="5486400" cy="6664883"/>
            <wp:docPr id="2" name="Picture 2"/>
            <wp:cNvGraphicFramePr>
              <a:graphicFrameLocks noChangeAspect="1"/>
            </wp:cNvGraphicFramePr>
            <a:graphic>
              <a:graphicData uri="http://schemas.openxmlformats.org/drawingml/2006/picture">
                <pic:pic>
                  <pic:nvPicPr>
                    <pic:cNvPr id="0" name="Östra Luspenåivve karta knärot.png"/>
                    <pic:cNvPicPr/>
                  </pic:nvPicPr>
                  <pic:blipFill>
                    <a:blip r:embed="rId17"/>
                    <a:stretch>
                      <a:fillRect/>
                    </a:stretch>
                  </pic:blipFill>
                  <pic:spPr>
                    <a:xfrm>
                      <a:off x="0" y="0"/>
                      <a:ext cx="5486400" cy="6664883"/>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7274230, E 704000 i SWEREF 99 TM.</w:t>
      </w:r>
    </w:p>
    <w:p>
      <w:pPr>
        <w:pStyle w:val="Caption"/>
      </w:pP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r>
        <w:br w:type="page"/>
      </w:r>
    </w:p>
    <w:p>
      <w:pPr>
        <w:pStyle w:val="Title"/>
      </w:pPr>
      <w:r>
        <w:t>BILAGA 1 - Fridlysta arter</w:t>
      </w:r>
    </w:p>
    <w:p>
      <w:pPr>
        <w:pStyle w:val="Heading1"/>
      </w:pPr>
      <w:r>
        <w:t>Järpe – ekologi samt krav på livsmiljön</w:t>
      </w:r>
    </w:p>
    <w:p>
      <w:r>
        <w:t>Järpe är rödlistad som nära hotad (NT), fridlyst enligt 4§ Artskyddsförordningen och prioriterad art i Skogsvårdslagen. Järpen, som minskat med 25 (10 - 40) % under de senaste 12 åren, har sina livsmiljöer i tät barrskog med inblandning av lövträd och en väl utvecklad flerskiktad struktur med bärris och yngre eller undertryckta, täta granar i ett lägre skikt, ofta utmed bäckar och åar inne i den skyddande granskogen. Arten behöver lämpliga skogsbestånd om sammanlagt minst 25 hektar. Den är mycket stationär inom sitt revir och när ett par etablerat sig stannar de så länge miljön är intakt. Den undviker öppen mark och förﬂyttar sig sällan över större öppna myrar eller åkermark, och är därför känslig för fragmentering. Järpen överlever inte om dess livsmiljö kalavverkas och är även känslig för röjning, gallring och avverkning där unga granar och lövträd inte sparas i tillräcklig omfattning (SLU Artdatabanken, 2022).</w:t>
      </w:r>
    </w:p>
    <w:p>
      <w:pPr>
        <w:pStyle w:val="Heading2"/>
      </w:pPr>
      <w:r>
        <w:t>Referenser - järpe</w:t>
      </w:r>
    </w:p>
    <w:p>
      <w:r>
        <w:t xml:space="preserve">SLU Artdatabanken, 2022. </w:t>
      </w:r>
      <w:r>
        <w:rPr>
          <w:i/>
        </w:rPr>
        <w:t xml:space="preserve">Artfaktablad. Naturvård – artfakta. </w:t>
      </w:r>
      <w:r>
        <w:t>SLU Artdatabanken, Uppsala</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Spillkråka – ekologi samt krav på livsmiljön</w:t>
      </w:r>
    </w:p>
    <w:p>
      <w:r>
        <w:t>Spillkråka (NT) är rödlistad som nära hotad, fridlyst enligt §4 Artskyddsförordningen och ingår i bilaga 1 i EU:s fågeldirektiv. Spillkråka lever i både barr- och blandskog liksom i ren lövskog. De tätaste populationerna tenderar att finnas i äldre, variationsrik blandskog med gott om död ved och gamla träd. Varje par utnyttjar 400-1 000 hektar skog beroende på skogens kvalitet. En minskning av populationen pågår på grund av minskad tillgång på lämpliga bo- och födoträd och minskad födotillgång. Spillkråkans minskningstakt har uppgått till 19 (24-10) % under de senaste 15 åren. Skogsbruk med korta omloppstider och täta, homogena ungskogar utgör det största hotet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p>
      <w:pPr>
        <w:pStyle w:val="Heading1"/>
      </w:pPr>
      <w:r>
        <w:t>Tjäder – ekologi samt krav på livsmiljön</w:t>
      </w:r>
    </w:p>
    <w:p>
      <w:r>
        <w:t xml:space="preserve">Tjäder (§4) är en utpräglad skogsfågel knuten till större sammanhängande barrskogsområden. Tupparna och hönorna utnyttjar till viss del olika miljöer, och   habitatvalet varierar dessutom mellan olika delar av året. För att det ska finnas livskraftiga tjäderbestånd krävs funktionella skogslandskap med en blandning av uppvuxen, gles och luckig skog, täta sumpskogar, myrar och andra små våtmarker. Arten försvinner när skogen fragmenteras och den sammanlagda arealen hyggen och andra öppna områden blir för stor. Ett småskaligt och försiktigt virkesuttag genom hyggesfria metoder kan i vissa fall vara möjligt i området inom 200 m från lekcentrum. Längre ut från lekcentrum, inom 200–500 m bör den avverkade ytan inte överskrida 1 hektar för att undvika alltför stora och snabba förändringar. </w:t>
      </w:r>
    </w:p>
    <w:p>
      <w:pPr>
        <w:pStyle w:val="Heading2"/>
      </w:pPr>
      <w:r>
        <w:t>Referenser - tjäder</w:t>
      </w:r>
    </w:p>
    <w:p>
      <w:r>
        <w:t xml:space="preserve">Skogsstyrelsen, 2019. </w:t>
      </w:r>
      <w:r>
        <w:rPr>
          <w:i/>
        </w:rPr>
        <w:t xml:space="preserve">Vägledning för hänsyn till fåglar – tjäder. </w:t>
      </w:r>
      <w:r>
        <w:t>https://www.skogsstyrelsen.se/globalassets/lag-och-tillsyn/artskydd/vagledningar-for-hansyn-till-faglar/tjader-vagledning-hansyn2.pdf</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2024-08-02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